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76" w:lineRule="auto" w:before="0"/>
        <w:jc w:val="right"/>
      </w:pPr>
      <w:r>
        <w:rPr>
          <w:rFonts w:ascii="Times New Roman" w:hAnsi="Times New Roman"/>
          <w:b w:val="0"/>
          <w:i w:val="0"/>
          <w:sz w:val="24"/>
        </w:rPr>
        <w:t>До [назва окружного адміністративного суду]</w:t>
      </w:r>
    </w:p>
    <w:p>
      <w:pPr>
        <w:spacing w:line="276" w:lineRule="auto" w:before="0"/>
        <w:jc w:val="right"/>
      </w:pPr>
      <w:r>
        <w:rPr>
          <w:rFonts w:ascii="Times New Roman" w:hAnsi="Times New Roman"/>
          <w:b w:val="0"/>
          <w:i w:val="0"/>
          <w:sz w:val="24"/>
        </w:rPr>
        <w:t>[поштова адреса суду]</w:t>
      </w:r>
    </w:p>
    <w:p>
      <w:pPr>
        <w:spacing w:line="276" w:lineRule="auto" w:before="0"/>
        <w:jc w:val="right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line="276" w:lineRule="auto" w:before="0"/>
        <w:jc w:val="right"/>
      </w:pPr>
      <w:r>
        <w:rPr>
          <w:rFonts w:ascii="Times New Roman" w:hAnsi="Times New Roman"/>
          <w:b w:val="0"/>
          <w:i w:val="0"/>
          <w:sz w:val="24"/>
        </w:rPr>
        <w:t>Позивач: [Прізвище Імʼя По батькові],</w:t>
      </w:r>
    </w:p>
    <w:p>
      <w:pPr>
        <w:spacing w:line="276" w:lineRule="auto" w:before="0"/>
        <w:jc w:val="right"/>
      </w:pPr>
      <w:r>
        <w:rPr>
          <w:rFonts w:ascii="Times New Roman" w:hAnsi="Times New Roman"/>
          <w:b w:val="0"/>
          <w:i w:val="0"/>
          <w:sz w:val="24"/>
        </w:rPr>
        <w:t>РНОКПП: [номер],</w:t>
      </w:r>
    </w:p>
    <w:p>
      <w:pPr>
        <w:spacing w:line="276" w:lineRule="auto" w:before="0"/>
        <w:jc w:val="right"/>
      </w:pPr>
      <w:r>
        <w:rPr>
          <w:rFonts w:ascii="Times New Roman" w:hAnsi="Times New Roman"/>
          <w:b w:val="0"/>
          <w:i w:val="0"/>
          <w:sz w:val="24"/>
        </w:rPr>
        <w:t>адреса: [адреса реєстрації/проживання],</w:t>
      </w:r>
    </w:p>
    <w:p>
      <w:pPr>
        <w:spacing w:line="276" w:lineRule="auto" w:before="0"/>
        <w:jc w:val="right"/>
      </w:pPr>
      <w:r>
        <w:rPr>
          <w:rFonts w:ascii="Times New Roman" w:hAnsi="Times New Roman"/>
          <w:b w:val="0"/>
          <w:i w:val="0"/>
          <w:sz w:val="24"/>
        </w:rPr>
        <w:t>тел.: [телефон], e-mail: [електронна пошта]</w:t>
      </w:r>
    </w:p>
    <w:p>
      <w:pPr>
        <w:spacing w:line="276" w:lineRule="auto" w:before="0"/>
        <w:jc w:val="right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line="276" w:lineRule="auto" w:before="0"/>
        <w:jc w:val="right"/>
      </w:pPr>
      <w:r>
        <w:rPr>
          <w:rFonts w:ascii="Times New Roman" w:hAnsi="Times New Roman"/>
          <w:b w:val="0"/>
          <w:i w:val="0"/>
          <w:sz w:val="24"/>
        </w:rPr>
        <w:t>Відповідач-1: [повна назва ТЦК та СП],</w:t>
      </w:r>
    </w:p>
    <w:p>
      <w:pPr>
        <w:spacing w:line="276" w:lineRule="auto" w:before="0"/>
        <w:jc w:val="right"/>
      </w:pPr>
      <w:r>
        <w:rPr>
          <w:rFonts w:ascii="Times New Roman" w:hAnsi="Times New Roman"/>
          <w:b w:val="0"/>
          <w:i w:val="0"/>
          <w:sz w:val="24"/>
        </w:rPr>
        <w:t>код ЄДРПОУ: [номер],</w:t>
      </w:r>
    </w:p>
    <w:p>
      <w:pPr>
        <w:spacing w:line="276" w:lineRule="auto" w:before="0"/>
        <w:jc w:val="right"/>
      </w:pPr>
      <w:r>
        <w:rPr>
          <w:rFonts w:ascii="Times New Roman" w:hAnsi="Times New Roman"/>
          <w:b w:val="0"/>
          <w:i w:val="0"/>
          <w:sz w:val="24"/>
        </w:rPr>
        <w:t>адреса: [адреса]</w:t>
      </w:r>
    </w:p>
    <w:p>
      <w:pPr>
        <w:spacing w:line="276" w:lineRule="auto" w:before="0"/>
        <w:jc w:val="right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line="276" w:lineRule="auto" w:before="0"/>
        <w:jc w:val="right"/>
      </w:pPr>
      <w:r>
        <w:rPr>
          <w:rFonts w:ascii="Times New Roman" w:hAnsi="Times New Roman"/>
          <w:b w:val="0"/>
          <w:i w:val="0"/>
          <w:sz w:val="24"/>
        </w:rPr>
        <w:t>Відповідач-2: Військова частина [номер],</w:t>
      </w:r>
    </w:p>
    <w:p>
      <w:pPr>
        <w:spacing w:line="276" w:lineRule="auto" w:before="0"/>
        <w:jc w:val="right"/>
      </w:pPr>
      <w:r>
        <w:rPr>
          <w:rFonts w:ascii="Times New Roman" w:hAnsi="Times New Roman"/>
          <w:b w:val="0"/>
          <w:i w:val="0"/>
          <w:sz w:val="24"/>
        </w:rPr>
        <w:t>код ЄДРПОУ: [номер],</w:t>
      </w:r>
    </w:p>
    <w:p>
      <w:pPr>
        <w:spacing w:line="276" w:lineRule="auto" w:before="0"/>
        <w:jc w:val="right"/>
      </w:pPr>
      <w:r>
        <w:rPr>
          <w:rFonts w:ascii="Times New Roman" w:hAnsi="Times New Roman"/>
          <w:b w:val="0"/>
          <w:i w:val="0"/>
          <w:sz w:val="24"/>
        </w:rPr>
        <w:t>адреса: [адреса]</w:t>
      </w:r>
    </w:p>
    <w:p>
      <w:pPr>
        <w:spacing w:line="276" w:lineRule="auto" w:before="0"/>
        <w:jc w:val="center"/>
      </w:pPr>
      <w:r>
        <w:rPr>
          <w:rFonts w:ascii="Times New Roman" w:hAnsi="Times New Roman"/>
          <w:b/>
          <w:i w:val="0"/>
          <w:sz w:val="28"/>
        </w:rPr>
        <w:t>ПОЗОВНА ЗАЯВА</w:t>
      </w:r>
    </w:p>
    <w:p>
      <w:pPr>
        <w:spacing w:line="276" w:lineRule="auto" w:before="0"/>
        <w:jc w:val="center"/>
      </w:pPr>
      <w:r>
        <w:rPr>
          <w:rFonts w:ascii="Times New Roman" w:hAnsi="Times New Roman"/>
          <w:b w:val="0"/>
          <w:i/>
          <w:sz w:val="24"/>
        </w:rPr>
        <w:t>про визнання протиправними дій та рішень, їх скасування та зобовʼязання вчинити певні дії</w:t>
      </w:r>
    </w:p>
    <w:p>
      <w:pPr>
        <w:spacing w:line="276" w:lineRule="auto" w:before="160"/>
        <w:jc w:val="center"/>
      </w:pPr>
      <w:r>
        <w:rPr>
          <w:rFonts w:ascii="Times New Roman" w:hAnsi="Times New Roman"/>
          <w:b/>
          <w:i w:val="0"/>
          <w:sz w:val="24"/>
        </w:rPr>
        <w:t>1. Обставини справи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[Дата] позивача було затримано працівниками [назва ТЦК та СП] за таких обставин: [описати — із застосуванням сили, без вручення повістки, без розʼяснення прав тощо]. Про застосування сили наявний відеозапис, який додається.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Протягом однієї доби позивача було призвано на військову службу під час мобілізації та направлено до Військової частини [номер] (наказ [назва ТЦК] від [дата] № [номер]).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Військово-лікарська комісія фактично не проводилась або була проведена формально: позивачу не видавалось направлення на ВЛК, він не розписувався у журналі реєстрації направлень, обовʼязкові медичні дослідження (загальний та біохімічний аналіз крові, аналіз сечі, флюорографія, ЕКГ) не проводились.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Наказом командира Військової частини [номер] від [дата] № [номер] позивача зараховано до списків особового складу та призначено на посаду [посада] без його згоди та без можливості обрати спеціальність.</w:t>
      </w:r>
    </w:p>
    <w:p>
      <w:pPr>
        <w:spacing w:line="276" w:lineRule="auto" w:before="160"/>
        <w:jc w:val="center"/>
      </w:pPr>
      <w:r>
        <w:rPr>
          <w:rFonts w:ascii="Times New Roman" w:hAnsi="Times New Roman"/>
          <w:b/>
          <w:i w:val="0"/>
          <w:sz w:val="24"/>
        </w:rPr>
        <w:t>2. Правове обґрунтування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Відповідно до ст. 2 Закону України «Про військовий обовʼязок і військову службу» військова служба є державною службою особливого характеру, яку проходять громадяни, придатні до неї за станом здоровʼя і віком. Придатність визначається за результатами військово-лікарської експертизи.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Положення про військово-лікарську експертизу в Збройних Силах України (наказ Міністра оборони України № 402 від 14.08.2008) передбачає обовʼязкове проведення низки медичних досліджень перед визначенням ступеня придатності. Без їх проведення висновок про придатність не може вважатись обґрунтованим.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Суд не оцінює медичні висновки по суті, але перевіряє законність процедури. Якщо обовʼязкові дослідження не проводились, а в картці медичного огляду відсутні їх результати і підпис особи, ВЛК є формальною, а призов відбувся без реального встановлення стану здоровʼя.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Наказ про призов та наказ про зарахування до частини створюють триваючий правовий стан, тому окреме скасування лише довідки ВЛК не відновить права позивача — ці акти мають бути скасовані окремо.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Посилання відповідачів на «незворотність» процедури призову (постанова Верховного Суду у справі № 160/2592/23 від 05.02.2025) є безпідставним: у тій справі позивач звернувся майже через рік після мобілізації та оскаржував лише сам факт непроходження ВЛК. У нашому випадку позивач звертається негайно, а порушення процедури є фундаментальним — призов без реального медичного обстеження.</w:t>
      </w:r>
    </w:p>
    <w:p>
      <w:pPr/>
      <w:r>
        <w:t>Позов подається в межах шестимісячного строку звернення до адміністративного суду (частина 2 статті 122 КАС України), який обчислюється з дня, коли позивач дізнався або повинен був дізнатися про порушення своїх прав. Зволікання було ключовою причиною відмови у справі № 160/2592/23: там позов подано більш ніж через 10 місяців (постанова КАС ВС від 05.02.2025).</w:t>
      </w:r>
    </w:p>
    <w:p>
      <w:pPr>
        <w:spacing w:line="276" w:lineRule="auto" w:before="160"/>
        <w:jc w:val="center"/>
      </w:pPr>
      <w:r>
        <w:rPr>
          <w:rFonts w:ascii="Times New Roman" w:hAnsi="Times New Roman"/>
          <w:b/>
          <w:i w:val="0"/>
          <w:sz w:val="24"/>
        </w:rPr>
        <w:t>3. Клопотання про витребування доказів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 звʼязку з тим, що самостійно отримати медичну документацію неможливо, прошу витребувати у [назва ТЦК та СП]: результати загального та біохімічного аналізу крові позивача, аналізу сечі, флюорографії органів грудної клітини, ЕКГ, а також картку обстеження та медичного огляду позивача.</w:t>
      </w:r>
    </w:p>
    <w:p>
      <w:pPr>
        <w:spacing w:line="276" w:lineRule="auto" w:before="160"/>
        <w:jc w:val="center"/>
      </w:pPr>
      <w:r>
        <w:rPr>
          <w:rFonts w:ascii="Times New Roman" w:hAnsi="Times New Roman"/>
          <w:b/>
          <w:i w:val="0"/>
          <w:sz w:val="24"/>
        </w:rPr>
        <w:t>4. Прохальна частина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підставі викладеного, керуючись ст. 19, 160–161, 171 Кодексу адміністративного судочинства України, ПРОШУ: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визнати протиправними дії [назва ТЦК та СП] щодо неналежного проведення медичного обстеження під час проходження військово-лікарської комісії та визнання позивача придатним до військової служби з порушенням вимог Положення про військово-лікарську експертизу;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визнати протиправною та скасувати довідку військово-лікарської комісії [назва ТЦК та СП] від [дата] № [номер];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визнати протиправним та скасувати наказ [назва ТЦК та СП] від [дата] № [номер] в частині призову позивача на військову службу під час мобілізації;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визнати протиправним та скасувати наказ командира Військової частини [номер] від [дата] № [номер] в частині зарахування позивача до списків особового складу та призначення на посаду;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зобовʼязати Військову частину [номер] виключити позивача зі списків особового складу та всіх видів забезпечення.</w:t>
      </w:r>
    </w:p>
    <w:p>
      <w:pPr>
        <w:spacing w:line="276" w:lineRule="auto" w:before="160"/>
        <w:jc w:val="center"/>
      </w:pPr>
      <w:r>
        <w:rPr>
          <w:rFonts w:ascii="Times New Roman" w:hAnsi="Times New Roman"/>
          <w:b/>
          <w:i w:val="0"/>
          <w:sz w:val="24"/>
        </w:rPr>
        <w:t>Додатки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Копія позовної заяви з додатками для відповідачів (2 примірники).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Копія [військово-обліковий документ / наказ про зарахування / довідка ВЛК — за наявності].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Відеозапис затримання на носії [опис носія].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Доказ сплати судового збору (0,4 розміру прожиткового мінімуму для працездатних осіб за кожну вимогу немайнового характеру: 3328 грн × 0,4 = 1331,20 грн; за 5 вимог — 6656,00 грн). УВАГА: за пунктом 13 частини 1 статті 5 Закону України «Про судовий збір» військовослужбовці у справах, пов'язаних з виконанням військового обов'язку, звільняються від сплати судового збору — перед поданням перевірити застосовність цієї пільги у конкретній справі.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Документи, що підтверджують [відстрочку / бронювання / стан здоровʼя — за наявності].</w:t>
      </w:r>
    </w:p>
    <w:p>
      <w:pPr>
        <w:spacing w:line="276" w:lineRule="auto" w:before="0"/>
        <w:jc w:val="right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line="276" w:lineRule="auto" w:before="0"/>
        <w:jc w:val="right"/>
      </w:pPr>
      <w:r>
        <w:rPr>
          <w:rFonts w:ascii="Times New Roman" w:hAnsi="Times New Roman"/>
          <w:b w:val="0"/>
          <w:i w:val="0"/>
          <w:sz w:val="24"/>
        </w:rPr>
        <w:t>Дата: ____ ____________ 20__ р.</w:t>
      </w:r>
    </w:p>
    <w:p>
      <w:pPr>
        <w:spacing w:line="276" w:lineRule="auto" w:before="0"/>
        <w:jc w:val="right"/>
      </w:pPr>
      <w:r>
        <w:rPr>
          <w:rFonts w:ascii="Times New Roman" w:hAnsi="Times New Roman"/>
          <w:b w:val="0"/>
          <w:i w:val="0"/>
          <w:sz w:val="24"/>
        </w:rPr>
        <w:t>Позивач: ____________________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