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76" w:lineRule="auto" w:before="0"/>
        <w:jc w:val="center"/>
      </w:pPr>
      <w:r>
        <w:rPr>
          <w:rFonts w:ascii="Times New Roman" w:hAnsi="Times New Roman"/>
          <w:b/>
          <w:i w:val="0"/>
          <w:sz w:val="28"/>
        </w:rPr>
        <w:t>ЗВЕДЕНА СУДОВА ПРАКТИКА</w:t>
      </w:r>
    </w:p>
    <w:p>
      <w:pPr>
        <w:spacing w:line="276" w:lineRule="auto" w:before="0"/>
        <w:jc w:val="center"/>
      </w:pPr>
      <w:r>
        <w:rPr>
          <w:rFonts w:ascii="Times New Roman" w:hAnsi="Times New Roman"/>
          <w:b w:val="0"/>
          <w:i/>
          <w:sz w:val="24"/>
        </w:rPr>
        <w:t>Незаконна мобілізація, СЗЧ та забезпечення позову (довідка для адвоката, перевірена за реєстрами)</w:t>
      </w:r>
    </w:p>
    <w:p>
      <w:pPr>
        <w:spacing w:line="276" w:lineRule="auto" w:before="160"/>
        <w:jc w:val="center"/>
      </w:pPr>
      <w:r>
        <w:rPr>
          <w:rFonts w:ascii="Times New Roman" w:hAnsi="Times New Roman"/>
          <w:b/>
          <w:i w:val="0"/>
          <w:sz w:val="24"/>
        </w:rPr>
        <w:t>1. Скасування незаконного призову (сприятлива практика)</w:t>
      </w:r>
    </w:p>
    <w:p>
      <w:pPr>
        <w:spacing w:line="276" w:lineRule="auto" w:before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— Дніпропетровський окружний адмінсуд, 25.06.2026, справа № 160/3760/26 — скасовано довідку ВЛК, наказ про призов і наказ про зарахування; частину зобовʼязано виключити особу зі списків. Ключ: формальна ВЛК без обовʼязкових досліджень, ТЦК не надало результати аналізів. Апеляцію ТЦК повернуто (ухвала Третього ААС від 18.08.2026).</w:t>
      </w:r>
    </w:p>
    <w:p>
      <w:pPr>
        <w:spacing w:line="276" w:lineRule="auto" w:before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— Львівський окружний адмінсуд, 04.03.2026, справа № 380/19873/25 (рішення № 134549714) — позов задоволено повністю: визнано протиправними дії ТЦК та СП щодо особи, яка мала право на відстрочку (точний перелік скасованих актів — за повним текстом рішення).</w:t>
      </w:r>
    </w:p>
    <w:p>
      <w:pPr>
        <w:spacing w:line="276" w:lineRule="auto" w:before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— Справа про заброньованого працівника (sud.ua) — суд скасував призов; оскільки частина не виконала, повторним рішенням її зобовʼязано звільнити особу та виключити зі списків.</w:t>
      </w:r>
    </w:p>
    <w:p>
      <w:pPr>
        <w:spacing w:line="276" w:lineRule="auto" w:before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— Коли призов скасовують попри «незворотність»: за наявності чинної відстрочки (news.dtkt.ua), бронювання, медичної непридатності або фундаментального порушення процедури ВЛК.</w:t>
      </w:r>
    </w:p>
    <w:p>
      <w:pPr>
        <w:spacing w:line="276" w:lineRule="auto" w:before="160"/>
        <w:jc w:val="center"/>
      </w:pPr>
      <w:r>
        <w:rPr>
          <w:rFonts w:ascii="Times New Roman" w:hAnsi="Times New Roman"/>
          <w:b/>
          <w:i w:val="0"/>
          <w:sz w:val="24"/>
        </w:rPr>
        <w:t>2. Межі позиції про «незворотність» призову</w:t>
      </w:r>
    </w:p>
    <w:p>
      <w:pPr>
        <w:spacing w:line="276" w:lineRule="auto" w:before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— КАС ВС, 05.02.2025, справа № 160/2592/23 — «процедура призову незворотна», порушення процедури саме по собі не підстава для звільнення. АЛЕ: постанова не є зразковою і стосується особи, яка звернулася майже через рік і скаржилась лише на непроходження ВЛК.</w:t>
      </w:r>
    </w:p>
    <w:p>
      <w:pPr>
        <w:spacing w:line="276" w:lineRule="auto" w:before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— Висновок для використання: «незворотність» не застосовується, якщо порушення фундаментальне, особа звернулась негайно, а позов сформульовано на конкретні акти (а не «звільніть мене»).</w:t>
      </w:r>
    </w:p>
    <w:p>
      <w:pPr>
        <w:spacing w:line="276" w:lineRule="auto" w:before="160"/>
        <w:jc w:val="center"/>
      </w:pPr>
      <w:r>
        <w:rPr>
          <w:rFonts w:ascii="Times New Roman" w:hAnsi="Times New Roman"/>
          <w:b/>
          <w:i w:val="0"/>
          <w:sz w:val="24"/>
        </w:rPr>
        <w:t>3. Забезпечення позову в мобілізаційних спорах</w:t>
      </w:r>
    </w:p>
    <w:p>
      <w:pPr>
        <w:spacing w:line="276" w:lineRule="auto" w:before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— Шостий апеляційний адмінсуд (pravo.ua) — задоволено заяву про забезпечення: заборонено ТЦК та СП вчиняти дії, повʼязані із заходами призову. Це прямий прецедент для заходу «заборона вчиняти дії» (п. 2 ч. 1 ст. 151 КАС).</w:t>
      </w:r>
    </w:p>
    <w:p>
      <w:pPr>
        <w:spacing w:line="276" w:lineRule="auto" w:before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— Київський окружний адмінсуд, 08.04.2025, справа № 320/16542/25 — суд наділений повноваженням вживати заходи забезпечення шляхом зупинення дії індивідуального акта.</w:t>
      </w:r>
    </w:p>
    <w:p>
      <w:pPr>
        <w:spacing w:line="276" w:lineRule="auto" w:before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— Обмеження: ст. 151 ч. 3 п. 10 КАС — не допускається забезпечення шляхом зупинення наказу командира, відданого військовослужбовцю в умовах воєнного стану. Тому найбезпечніший захід — саме заборона вчиняти дії.</w:t>
      </w:r>
    </w:p>
    <w:p>
      <w:pPr>
        <w:spacing w:line="276" w:lineRule="auto" w:before="160"/>
        <w:jc w:val="center"/>
      </w:pPr>
      <w:r>
        <w:rPr>
          <w:rFonts w:ascii="Times New Roman" w:hAnsi="Times New Roman"/>
          <w:b/>
          <w:i w:val="0"/>
          <w:sz w:val="24"/>
        </w:rPr>
        <w:t>4. Звільнення від кримінальної відповідальності за СЗЧ (ч. 5 ст. 401 КК)</w:t>
      </w:r>
    </w:p>
    <w:p>
      <w:pPr>
        <w:spacing w:line="276" w:lineRule="auto" w:before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— ККС ВС, 15.10.2025, справа № 484/3679/23 — три умови застосування ч. 5 ст. 401 КК; наказ про зарахування на забезпечення = письмова згода командира.</w:t>
      </w:r>
    </w:p>
    <w:p>
      <w:pPr>
        <w:spacing w:line="276" w:lineRule="auto" w:before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— ККС ВС, 03.08.2026, справа № 183/7165/23 — відсутність окремого клопотання не перешкоджає звільненню, якщо особа фактично повернулась і служить; норма має зворотну дію.</w:t>
      </w:r>
    </w:p>
    <w:p>
      <w:pPr>
        <w:spacing w:line="276" w:lineRule="auto" w:before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— ККС ВС, 13.08.2026, справа № 638/20690/23 — суд не може додавати умов, яких немає в нормі.</w:t>
      </w:r>
    </w:p>
    <w:p>
      <w:pPr>
        <w:spacing w:line="276" w:lineRule="auto" w:before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— ККС ВС, 04.02.2025, справа № 295/2490/24 — два самостійні епізоди без єдиного умислу руйнують умову «вперше».</w:t>
      </w:r>
    </w:p>
    <w:p>
      <w:pPr>
        <w:spacing w:line="276" w:lineRule="auto" w:before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— ККС ВС, 31.03.2025, справа № 295/8165/23 — письмова відмова командира закриває шлях.</w:t>
      </w:r>
    </w:p>
    <w:p>
      <w:pPr>
        <w:spacing w:line="276" w:lineRule="auto" w:before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— ККС ВС, 29.07.2025, справа № 638/18074/23 — без заяви про намір служити норма не застосовується.</w:t>
      </w:r>
    </w:p>
    <w:p>
      <w:pPr>
        <w:spacing w:line="276" w:lineRule="auto" w:before="160"/>
        <w:jc w:val="center"/>
      </w:pPr>
      <w:r>
        <w:rPr>
          <w:rFonts w:ascii="Times New Roman" w:hAnsi="Times New Roman"/>
          <w:b/>
          <w:i w:val="0"/>
          <w:sz w:val="24"/>
        </w:rPr>
        <w:t>5. ЄСПЛ — стаття 5 Конвенції (свобода та особиста недоторканність)</w:t>
      </w:r>
    </w:p>
    <w:p>
      <w:pPr>
        <w:spacing w:line="276" w:lineRule="auto" w:before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Для доводу про незаконне затримання / застосування сили працівниками ТЦК (ст. 5 Конвенції про захист прав людини і основоположних свобод):</w:t>
      </w:r>
    </w:p>
    <w:p>
      <w:pPr>
        <w:spacing w:line="276" w:lineRule="auto" w:before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— «Крупко та інші проти Росії» (Krupko and Others v. Russia), 2014, § 36 — елемент примусу при затриманні свідчить про позбавлення свободи, незалежно від короткочасності.</w:t>
      </w:r>
    </w:p>
    <w:p>
      <w:pPr>
        <w:spacing w:line="276" w:lineRule="auto" w:before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— «Фока проти Туреччини» (Foka v. Turkey), 2008, § 78 — те саме.</w:t>
      </w:r>
    </w:p>
    <w:p>
      <w:pPr>
        <w:spacing w:line="276" w:lineRule="auto" w:before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— «Джиллан та Квінтон проти Сполученого Королівства» (Gillan and Quinton v. UK), 2010, § 57 — те саме.</w:t>
      </w:r>
    </w:p>
    <w:p>
      <w:pPr>
        <w:spacing w:line="276" w:lineRule="auto" w:before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— «Шимоволос проти Росії» (Shimovolos v. Russia), 2011, § 50 — те саме.</w:t>
      </w:r>
    </w:p>
    <w:p>
      <w:pPr>
        <w:spacing w:line="276" w:lineRule="auto" w:before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— «Брега та інші проти Молдови» (Brega and Others v. Moldova), 2012, § 43 — те саме.</w:t>
      </w:r>
    </w:p>
    <w:p>
      <w:pPr>
        <w:spacing w:line="276" w:lineRule="auto" w:before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— «Селахаттін Демірташ проти Туреччини (№ 2)» (Selahattin Demirtaş v. Turkey (no. 2), ВП), 2020, § 311 — основна мета ст. 5 — запобігання свавільному позбавленню свободи.</w:t>
      </w:r>
    </w:p>
    <w:p>
      <w:pPr>
        <w:spacing w:line="276" w:lineRule="auto" w:before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— «М.А. проти Кіпру» (M.A. v. Cyprus), 2013, § 193 — відсутність наручників чи камери не є вирішальною для встановлення позбавлення свободи.</w:t>
      </w:r>
    </w:p>
    <w:p>
      <w:pPr>
        <w:spacing w:line="276" w:lineRule="auto" w:before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Статуси реквізитів (звірено 12.10.2026): [ПЕРЕВІРЕНО] — № 160/2592/23 (iplex № 124951202, прес-центр ВС), № 160/3760/26 (Опендатабот, ухвала Третього ААС від 18.08.2026), № 380/19873/25 (youcontrol № 134549714), № 320/16542/25 (zakononline № 126546350), № 484/3679/23 (protocol.ua, iplex № 131130767), № 183/7165/23 (protocol.ua, iplex № 138681252), № 638/18074/23 (clarity-project № 129245110), № 295/2490/24, № 295/8165/23, № 183/12595/23, № 638/20690/23 (Офіційний огляд ККС ВС «Звільнення від кримінальної відповідальності», court.gov.ua). Рішення ЄСПЛ: справи та роки підтверджені за HUDOC (Krupko 001-145013; Foka 28940/95; Gillan 001-96585; Shimovolos, 21.06.2011; Brega 001-108787; Demirtaş (no. 2); M.A. v. Cyprus 001-122889). Примітка: номери параграфів (§) постанов ЄСПЛ звірити за повним текстом (HUDOC) перед цитуванням у процесуальному документі.</w:t>
      </w:r>
    </w:p>
    <w:sectPr w:rsidR="00FC693F" w:rsidRPr="0006063C" w:rsidSect="00034616">
      <w:footerReference w:type="default" r:id="rId9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